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78" w:rsidRPr="00BF4A2D" w:rsidRDefault="004B061F" w:rsidP="004B061F">
      <w:pPr>
        <w:spacing w:after="0"/>
        <w:jc w:val="center"/>
        <w:rPr>
          <w:rFonts w:ascii="Arial" w:hAnsi="Arial" w:cs="Arial"/>
          <w:b/>
          <w:sz w:val="24"/>
        </w:rPr>
      </w:pPr>
      <w:bookmarkStart w:id="0" w:name="_Hlk255141"/>
      <w:bookmarkStart w:id="1" w:name="_GoBack"/>
      <w:bookmarkEnd w:id="1"/>
      <w:r w:rsidRPr="00BF4A2D">
        <w:rPr>
          <w:rFonts w:ascii="Arial" w:hAnsi="Arial" w:cs="Arial"/>
          <w:b/>
          <w:sz w:val="24"/>
        </w:rPr>
        <w:t>O Assistente Social enquanto Mediador Familiar</w:t>
      </w:r>
    </w:p>
    <w:p w:rsidR="004B061F" w:rsidRPr="00BF4A2D" w:rsidRDefault="004B061F" w:rsidP="004B061F">
      <w:pPr>
        <w:spacing w:after="0"/>
        <w:jc w:val="center"/>
        <w:rPr>
          <w:rFonts w:ascii="Arial" w:hAnsi="Arial" w:cs="Arial"/>
          <w:b/>
          <w:sz w:val="24"/>
        </w:rPr>
      </w:pPr>
    </w:p>
    <w:p w:rsidR="004B061F" w:rsidRPr="00BF4A2D" w:rsidRDefault="004B061F" w:rsidP="004B061F">
      <w:pPr>
        <w:spacing w:after="0"/>
        <w:jc w:val="center"/>
        <w:rPr>
          <w:rFonts w:ascii="Arial" w:hAnsi="Arial" w:cs="Arial"/>
          <w:b/>
          <w:sz w:val="24"/>
        </w:rPr>
      </w:pPr>
    </w:p>
    <w:p w:rsidR="004B061F" w:rsidRPr="00BF4A2D" w:rsidRDefault="004B061F" w:rsidP="004B061F">
      <w:pPr>
        <w:spacing w:after="0"/>
        <w:jc w:val="right"/>
        <w:rPr>
          <w:rFonts w:ascii="Arial" w:hAnsi="Arial" w:cs="Arial"/>
          <w:sz w:val="20"/>
        </w:rPr>
      </w:pPr>
      <w:r w:rsidRPr="00BF4A2D">
        <w:rPr>
          <w:rFonts w:ascii="Arial" w:hAnsi="Arial" w:cs="Arial"/>
          <w:sz w:val="20"/>
        </w:rPr>
        <w:t>Maria Ferreira</w:t>
      </w:r>
    </w:p>
    <w:p w:rsidR="004B061F" w:rsidRPr="00BF4A2D" w:rsidRDefault="004B061F" w:rsidP="004B061F">
      <w:pPr>
        <w:spacing w:after="0"/>
        <w:jc w:val="right"/>
        <w:rPr>
          <w:rFonts w:ascii="Arial" w:hAnsi="Arial" w:cs="Arial"/>
          <w:i/>
          <w:sz w:val="20"/>
        </w:rPr>
      </w:pPr>
      <w:r w:rsidRPr="00BF4A2D">
        <w:rPr>
          <w:rFonts w:ascii="Arial" w:hAnsi="Arial" w:cs="Arial"/>
          <w:i/>
          <w:sz w:val="20"/>
        </w:rPr>
        <w:t>Instituto Superior de Serviço Social do Porto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  <w:sz w:val="20"/>
        </w:rPr>
      </w:pPr>
      <w:r w:rsidRPr="00BF4A2D">
        <w:rPr>
          <w:rFonts w:ascii="Arial" w:hAnsi="Arial" w:cs="Arial"/>
          <w:b/>
          <w:sz w:val="20"/>
        </w:rPr>
        <w:t>Resumo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sz w:val="20"/>
        </w:rPr>
      </w:pPr>
      <w:r w:rsidRPr="00BF4A2D">
        <w:rPr>
          <w:rFonts w:ascii="Arial" w:hAnsi="Arial" w:cs="Arial"/>
          <w:sz w:val="20"/>
        </w:rPr>
        <w:t>(entre 200 a 350 palavras)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sz w:val="20"/>
        </w:rPr>
      </w:pPr>
      <w:r w:rsidRPr="00BF4A2D">
        <w:rPr>
          <w:rFonts w:ascii="Arial" w:hAnsi="Arial" w:cs="Arial"/>
          <w:b/>
          <w:sz w:val="20"/>
        </w:rPr>
        <w:t xml:space="preserve">Palavras-chave: </w:t>
      </w:r>
      <w:r w:rsidRPr="00BF4A2D">
        <w:rPr>
          <w:rFonts w:ascii="Arial" w:hAnsi="Arial" w:cs="Arial"/>
          <w:sz w:val="20"/>
        </w:rPr>
        <w:t>Mediação Familiar; Serviço Social; Competências Profissionais.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sz w:val="20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  <w:r w:rsidRPr="00BF4A2D">
        <w:rPr>
          <w:rFonts w:ascii="Arial" w:hAnsi="Arial" w:cs="Arial"/>
          <w:b/>
        </w:rPr>
        <w:t>Introdução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BF4A2D" w:rsidRPr="00BF4A2D" w:rsidRDefault="00BF4A2D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  <w:r w:rsidRPr="00BF4A2D">
        <w:rPr>
          <w:rFonts w:ascii="Arial" w:hAnsi="Arial" w:cs="Arial"/>
          <w:b/>
        </w:rPr>
        <w:t xml:space="preserve">1. A </w:t>
      </w:r>
      <w:r w:rsidR="00372B0D" w:rsidRPr="00BF4A2D">
        <w:rPr>
          <w:rFonts w:ascii="Arial" w:hAnsi="Arial" w:cs="Arial"/>
          <w:b/>
        </w:rPr>
        <w:t>modelo de mediação</w:t>
      </w:r>
      <w:r w:rsidRPr="00BF4A2D">
        <w:rPr>
          <w:rFonts w:ascii="Arial" w:hAnsi="Arial" w:cs="Arial"/>
          <w:b/>
        </w:rPr>
        <w:t xml:space="preserve"> 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center"/>
        <w:rPr>
          <w:rFonts w:ascii="Arial" w:hAnsi="Arial" w:cs="Arial"/>
          <w:b/>
          <w:sz w:val="20"/>
        </w:rPr>
      </w:pPr>
    </w:p>
    <w:p w:rsidR="004B061F" w:rsidRPr="00BF4A2D" w:rsidRDefault="004B061F" w:rsidP="004B061F">
      <w:pPr>
        <w:spacing w:after="0"/>
        <w:jc w:val="center"/>
        <w:rPr>
          <w:rFonts w:ascii="Arial" w:hAnsi="Arial" w:cs="Arial"/>
          <w:b/>
          <w:sz w:val="20"/>
        </w:rPr>
      </w:pPr>
    </w:p>
    <w:p w:rsidR="004B061F" w:rsidRPr="00BF4A2D" w:rsidRDefault="0083767C" w:rsidP="004B061F">
      <w:pPr>
        <w:spacing w:after="0"/>
        <w:jc w:val="center"/>
        <w:rPr>
          <w:rFonts w:ascii="Arial" w:hAnsi="Arial" w:cs="Arial"/>
          <w:b/>
          <w:sz w:val="20"/>
        </w:rPr>
      </w:pPr>
      <w:r w:rsidRPr="00BF4A2D">
        <w:rPr>
          <w:rFonts w:ascii="Arial" w:hAnsi="Arial" w:cs="Arial"/>
          <w:b/>
          <w:sz w:val="20"/>
        </w:rPr>
        <w:t>Figur</w:t>
      </w:r>
      <w:r w:rsidR="004B061F" w:rsidRPr="00BF4A2D">
        <w:rPr>
          <w:rFonts w:ascii="Arial" w:hAnsi="Arial" w:cs="Arial"/>
          <w:b/>
          <w:sz w:val="20"/>
        </w:rPr>
        <w:t xml:space="preserve">a 1. </w:t>
      </w:r>
      <w:r w:rsidR="00117D5B" w:rsidRPr="00BF4A2D">
        <w:rPr>
          <w:rFonts w:ascii="Arial" w:hAnsi="Arial" w:cs="Arial"/>
          <w:b/>
          <w:sz w:val="20"/>
        </w:rPr>
        <w:t>Evolução dos processos findos nos Julgados de Paz, em Portugal (2012-2017)</w:t>
      </w:r>
    </w:p>
    <w:p w:rsidR="004B061F" w:rsidRPr="00BF4A2D" w:rsidRDefault="0083767C" w:rsidP="004B061F">
      <w:pPr>
        <w:spacing w:after="0"/>
        <w:jc w:val="center"/>
        <w:rPr>
          <w:rFonts w:ascii="Arial" w:hAnsi="Arial" w:cs="Arial"/>
          <w:b/>
          <w:sz w:val="20"/>
        </w:rPr>
      </w:pPr>
      <w:r w:rsidRPr="00BF4A2D">
        <w:rPr>
          <w:rFonts w:ascii="Arial" w:hAnsi="Arial" w:cs="Arial"/>
          <w:b/>
          <w:noProof/>
          <w:sz w:val="20"/>
          <w:lang w:eastAsia="pt-PT"/>
        </w:rPr>
        <w:drawing>
          <wp:inline distT="0" distB="0" distL="0" distR="0" wp14:anchorId="57E6D92F">
            <wp:extent cx="3181350" cy="1805767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077" cy="1836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61F" w:rsidRPr="008E53AE" w:rsidRDefault="004B061F" w:rsidP="004B061F">
      <w:pPr>
        <w:spacing w:after="0"/>
        <w:jc w:val="center"/>
        <w:rPr>
          <w:rFonts w:ascii="Arial" w:hAnsi="Arial" w:cs="Arial"/>
          <w:sz w:val="20"/>
        </w:rPr>
      </w:pPr>
      <w:r w:rsidRPr="008E53AE">
        <w:rPr>
          <w:rFonts w:ascii="Arial" w:hAnsi="Arial" w:cs="Arial"/>
          <w:b/>
          <w:sz w:val="20"/>
        </w:rPr>
        <w:t>Fonte:</w:t>
      </w:r>
      <w:r w:rsidRPr="008E53AE">
        <w:rPr>
          <w:rFonts w:ascii="Arial" w:hAnsi="Arial" w:cs="Arial"/>
          <w:sz w:val="20"/>
        </w:rPr>
        <w:t xml:space="preserve"> Direção Geral de Política da Justiça</w:t>
      </w:r>
      <w:r w:rsidR="00896063" w:rsidRPr="008E53AE">
        <w:rPr>
          <w:rFonts w:ascii="Arial" w:hAnsi="Arial" w:cs="Arial"/>
          <w:sz w:val="20"/>
        </w:rPr>
        <w:t>.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  <w:r w:rsidRPr="00BF4A2D">
        <w:rPr>
          <w:rFonts w:ascii="Arial" w:hAnsi="Arial" w:cs="Arial"/>
          <w:b/>
        </w:rPr>
        <w:t>2. O papel do Assistente Social nos contextos de mediação familiar</w:t>
      </w: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4B061F" w:rsidP="004B061F">
      <w:pPr>
        <w:spacing w:after="0"/>
        <w:jc w:val="both"/>
        <w:rPr>
          <w:rFonts w:ascii="Arial" w:hAnsi="Arial" w:cs="Arial"/>
          <w:b/>
        </w:rPr>
      </w:pPr>
    </w:p>
    <w:p w:rsidR="00BF4A2D" w:rsidRDefault="00BF4A2D">
      <w:pPr>
        <w:spacing w:after="0"/>
        <w:jc w:val="both"/>
        <w:rPr>
          <w:rFonts w:ascii="Arial" w:hAnsi="Arial" w:cs="Arial"/>
          <w:b/>
        </w:rPr>
      </w:pPr>
    </w:p>
    <w:p w:rsidR="004B061F" w:rsidRPr="00BF4A2D" w:rsidRDefault="006B6842">
      <w:pPr>
        <w:spacing w:after="0"/>
        <w:jc w:val="both"/>
        <w:rPr>
          <w:rFonts w:ascii="Arial" w:hAnsi="Arial" w:cs="Arial"/>
          <w:b/>
        </w:rPr>
      </w:pPr>
      <w:r w:rsidRPr="00BF4A2D">
        <w:rPr>
          <w:rFonts w:ascii="Arial" w:hAnsi="Arial" w:cs="Arial"/>
          <w:b/>
        </w:rPr>
        <w:t>Conclusão</w:t>
      </w:r>
    </w:p>
    <w:p w:rsidR="006B6842" w:rsidRPr="00BF4A2D" w:rsidRDefault="006B6842">
      <w:pPr>
        <w:spacing w:after="0"/>
        <w:jc w:val="both"/>
        <w:rPr>
          <w:rFonts w:ascii="Arial" w:hAnsi="Arial" w:cs="Arial"/>
          <w:b/>
        </w:rPr>
      </w:pPr>
    </w:p>
    <w:p w:rsidR="00BF4A2D" w:rsidRPr="00BF4A2D" w:rsidRDefault="00BF4A2D">
      <w:pPr>
        <w:spacing w:after="0"/>
        <w:jc w:val="both"/>
        <w:rPr>
          <w:rFonts w:ascii="Arial" w:hAnsi="Arial" w:cs="Arial"/>
          <w:b/>
        </w:rPr>
      </w:pPr>
    </w:p>
    <w:p w:rsidR="006B6842" w:rsidRPr="00BF4A2D" w:rsidRDefault="0083767C">
      <w:pPr>
        <w:spacing w:after="0"/>
        <w:jc w:val="both"/>
        <w:rPr>
          <w:rFonts w:ascii="Arial" w:hAnsi="Arial" w:cs="Arial"/>
          <w:b/>
        </w:rPr>
      </w:pPr>
      <w:r w:rsidRPr="00BF4A2D">
        <w:rPr>
          <w:rFonts w:ascii="Arial" w:hAnsi="Arial" w:cs="Arial"/>
          <w:b/>
        </w:rPr>
        <w:t>Referências bibliográficas</w:t>
      </w:r>
    </w:p>
    <w:p w:rsidR="0092492A" w:rsidRDefault="00896063">
      <w:pPr>
        <w:spacing w:after="0"/>
        <w:jc w:val="both"/>
        <w:rPr>
          <w:rFonts w:ascii="Arial" w:hAnsi="Arial" w:cs="Arial"/>
        </w:rPr>
      </w:pPr>
      <w:r w:rsidRPr="00BF4A2D">
        <w:rPr>
          <w:rFonts w:ascii="Arial" w:hAnsi="Arial" w:cs="Arial"/>
        </w:rPr>
        <w:t xml:space="preserve">Batista, M.; Martins, E. M. G., &amp; </w:t>
      </w:r>
      <w:proofErr w:type="spellStart"/>
      <w:r w:rsidRPr="00BF4A2D">
        <w:rPr>
          <w:rFonts w:ascii="Arial" w:hAnsi="Arial" w:cs="Arial"/>
        </w:rPr>
        <w:t>Camolesi</w:t>
      </w:r>
      <w:proofErr w:type="spellEnd"/>
      <w:r w:rsidRPr="00BF4A2D">
        <w:rPr>
          <w:rFonts w:ascii="Arial" w:hAnsi="Arial" w:cs="Arial"/>
        </w:rPr>
        <w:t xml:space="preserve">, A. B. (2013). A atuação do assistente social na mediação de conflitos. </w:t>
      </w:r>
      <w:r w:rsidRPr="00BF4A2D">
        <w:rPr>
          <w:rFonts w:ascii="Arial" w:hAnsi="Arial" w:cs="Arial"/>
          <w:i/>
        </w:rPr>
        <w:t xml:space="preserve">Revista </w:t>
      </w:r>
      <w:proofErr w:type="spellStart"/>
      <w:r w:rsidRPr="00BF4A2D">
        <w:rPr>
          <w:rFonts w:ascii="Arial" w:hAnsi="Arial" w:cs="Arial"/>
          <w:i/>
        </w:rPr>
        <w:t>Universitas</w:t>
      </w:r>
      <w:proofErr w:type="spellEnd"/>
      <w:r w:rsidRPr="00BF4A2D">
        <w:rPr>
          <w:rFonts w:ascii="Arial" w:hAnsi="Arial" w:cs="Arial"/>
          <w:i/>
        </w:rPr>
        <w:t>, 6(10)</w:t>
      </w:r>
      <w:r w:rsidRPr="00BF4A2D">
        <w:rPr>
          <w:rFonts w:ascii="Arial" w:hAnsi="Arial" w:cs="Arial"/>
        </w:rPr>
        <w:t>, 73-88.</w:t>
      </w:r>
    </w:p>
    <w:p w:rsidR="0083767C" w:rsidRPr="00467A7F" w:rsidRDefault="00467A7F">
      <w:pPr>
        <w:spacing w:after="0"/>
        <w:jc w:val="both"/>
        <w:rPr>
          <w:rFonts w:ascii="Arial" w:hAnsi="Arial" w:cs="Arial"/>
        </w:rPr>
      </w:pPr>
      <w:r w:rsidRPr="00467A7F">
        <w:rPr>
          <w:rFonts w:ascii="Arial" w:hAnsi="Arial" w:cs="Arial"/>
        </w:rPr>
        <w:t>Branco, M. J. C. (2018).</w:t>
      </w:r>
      <w:r>
        <w:rPr>
          <w:rFonts w:ascii="Arial" w:hAnsi="Arial" w:cs="Arial"/>
        </w:rPr>
        <w:t xml:space="preserve"> </w:t>
      </w:r>
      <w:r w:rsidRPr="00467A7F">
        <w:rPr>
          <w:rFonts w:ascii="Arial" w:hAnsi="Arial" w:cs="Arial"/>
          <w:i/>
        </w:rPr>
        <w:t>Mediação Familiar</w:t>
      </w:r>
      <w:r>
        <w:rPr>
          <w:rFonts w:ascii="Arial" w:hAnsi="Arial" w:cs="Arial"/>
        </w:rPr>
        <w:t>. Lisboa: Chiado Editora.</w:t>
      </w:r>
      <w:r w:rsidR="00896063" w:rsidRPr="00467A7F">
        <w:rPr>
          <w:rFonts w:ascii="Arial" w:hAnsi="Arial" w:cs="Arial"/>
        </w:rPr>
        <w:t xml:space="preserve"> </w:t>
      </w:r>
    </w:p>
    <w:bookmarkEnd w:id="0"/>
    <w:p w:rsidR="0063516D" w:rsidRPr="00467A7F" w:rsidRDefault="0063516D">
      <w:pPr>
        <w:spacing w:after="0"/>
        <w:jc w:val="both"/>
        <w:rPr>
          <w:rFonts w:ascii="Arial" w:hAnsi="Arial" w:cs="Arial"/>
        </w:rPr>
      </w:pPr>
    </w:p>
    <w:sectPr w:rsidR="0063516D" w:rsidRPr="00467A7F" w:rsidSect="004B061F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1F"/>
    <w:rsid w:val="00117D5B"/>
    <w:rsid w:val="00372B0D"/>
    <w:rsid w:val="00467A7F"/>
    <w:rsid w:val="004B061F"/>
    <w:rsid w:val="0063516D"/>
    <w:rsid w:val="006B6842"/>
    <w:rsid w:val="0083767C"/>
    <w:rsid w:val="00896063"/>
    <w:rsid w:val="008E53AE"/>
    <w:rsid w:val="0092492A"/>
    <w:rsid w:val="00953908"/>
    <w:rsid w:val="00BD7D78"/>
    <w:rsid w:val="00BF4A2D"/>
    <w:rsid w:val="00D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061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5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53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061F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5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53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Idalina Machado</dc:creator>
  <cp:lastModifiedBy>Gloria</cp:lastModifiedBy>
  <cp:revision>2</cp:revision>
  <dcterms:created xsi:type="dcterms:W3CDTF">2019-02-05T14:39:00Z</dcterms:created>
  <dcterms:modified xsi:type="dcterms:W3CDTF">2019-02-05T14:39:00Z</dcterms:modified>
</cp:coreProperties>
</file>